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641" w:rsidRDefault="009B5641" w:rsidP="009B5641">
      <w:pPr>
        <w:jc w:val="center"/>
        <w:rPr>
          <w:rFonts w:ascii="Verdana" w:hAnsi="Verdana" w:cstheme="minorHAnsi"/>
          <w:b/>
          <w:color w:val="1F3864" w:themeColor="accent5" w:themeShade="80"/>
          <w:sz w:val="28"/>
          <w:szCs w:val="28"/>
        </w:rPr>
      </w:pPr>
      <w:r>
        <w:rPr>
          <w:rFonts w:ascii="Verdana" w:hAnsi="Verdana" w:cstheme="minorHAnsi"/>
          <w:b/>
          <w:color w:val="1F3864" w:themeColor="accent5" w:themeShade="80"/>
          <w:sz w:val="28"/>
          <w:szCs w:val="28"/>
        </w:rPr>
        <w:t>Dinedor Parish Council</w:t>
      </w:r>
    </w:p>
    <w:p w:rsidR="009B5641" w:rsidRDefault="009B5641" w:rsidP="009B5641">
      <w:pPr>
        <w:jc w:val="center"/>
        <w:rPr>
          <w:rFonts w:ascii="Verdana" w:hAnsi="Verdana" w:cstheme="minorHAnsi"/>
          <w:b/>
          <w:color w:val="1F3864" w:themeColor="accent5" w:themeShade="80"/>
          <w:sz w:val="28"/>
          <w:szCs w:val="28"/>
        </w:rPr>
      </w:pPr>
    </w:p>
    <w:p w:rsidR="009B5641" w:rsidRDefault="009B5641" w:rsidP="009B5641">
      <w:pPr>
        <w:jc w:val="center"/>
        <w:rPr>
          <w:rFonts w:asciiTheme="minorHAnsi" w:hAnsiTheme="minorHAnsi" w:cstheme="minorHAnsi"/>
          <w:b/>
          <w:sz w:val="28"/>
          <w:szCs w:val="28"/>
        </w:rPr>
      </w:pPr>
      <w:r>
        <w:rPr>
          <w:rFonts w:asciiTheme="minorHAnsi" w:hAnsiTheme="minorHAnsi" w:cstheme="minorHAnsi"/>
          <w:b/>
          <w:sz w:val="28"/>
          <w:szCs w:val="28"/>
        </w:rPr>
        <w:t>Localism Act 2011</w:t>
      </w:r>
    </w:p>
    <w:p w:rsidR="009B5641" w:rsidRDefault="009B5641" w:rsidP="009B5641">
      <w:pPr>
        <w:jc w:val="center"/>
        <w:rPr>
          <w:rFonts w:asciiTheme="minorHAnsi" w:hAnsiTheme="minorHAnsi" w:cstheme="minorHAnsi"/>
          <w:b/>
          <w:sz w:val="28"/>
          <w:szCs w:val="28"/>
        </w:rPr>
      </w:pPr>
      <w:r>
        <w:rPr>
          <w:rFonts w:asciiTheme="minorHAnsi" w:hAnsiTheme="minorHAnsi" w:cstheme="minorHAnsi"/>
          <w:b/>
          <w:sz w:val="28"/>
          <w:szCs w:val="28"/>
        </w:rPr>
        <w:t>Procedure for Granting Dispensations from Section 31</w:t>
      </w:r>
    </w:p>
    <w:p w:rsidR="009B5641" w:rsidRDefault="009B5641" w:rsidP="009B5641">
      <w:pPr>
        <w:rPr>
          <w:rFonts w:asciiTheme="minorHAnsi" w:hAnsiTheme="minorHAnsi" w:cstheme="minorHAnsi"/>
          <w:b/>
          <w:sz w:val="22"/>
          <w:szCs w:val="22"/>
        </w:rPr>
      </w:pPr>
    </w:p>
    <w:p w:rsidR="009B5641" w:rsidRDefault="009B5641" w:rsidP="009B5641">
      <w:pPr>
        <w:rPr>
          <w:rFonts w:asciiTheme="minorHAnsi" w:hAnsiTheme="minorHAnsi" w:cstheme="minorHAnsi"/>
          <w:b/>
          <w:sz w:val="28"/>
          <w:szCs w:val="28"/>
        </w:rPr>
      </w:pPr>
      <w:r>
        <w:rPr>
          <w:rFonts w:asciiTheme="minorHAnsi" w:hAnsiTheme="minorHAnsi" w:cstheme="minorHAnsi"/>
          <w:b/>
          <w:sz w:val="28"/>
          <w:szCs w:val="28"/>
        </w:rPr>
        <w:t>Introduction</w:t>
      </w:r>
    </w:p>
    <w:p w:rsidR="009B5641" w:rsidRDefault="009B5641" w:rsidP="009B5641">
      <w:pPr>
        <w:rPr>
          <w:rFonts w:asciiTheme="minorHAnsi" w:hAnsiTheme="minorHAnsi" w:cstheme="minorHAnsi"/>
          <w:b/>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Under section 31 of the Localism Act 2011 a member who is present at a meeting of the authority, or at a meeting of any committee, sub-committee, joint committee or joint sub-committee of the authority and is aware that he or she has a disclosable pecuniary interest in any matter to be considered or being considered at the meeting and that interest is not in the register of members’ interest, he or she must disclose that interest to the meeting (or in the case of a sensitive interest, disclose the fact of there being a disclosable pecuniary interest, but not details of the interest itself)</w:t>
      </w:r>
      <w:r>
        <w:rPr>
          <w:rStyle w:val="FootnoteReference"/>
          <w:rFonts w:asciiTheme="minorHAnsi" w:hAnsiTheme="minorHAnsi" w:cstheme="minorHAnsi"/>
          <w:sz w:val="22"/>
          <w:szCs w:val="22"/>
        </w:rPr>
        <w:footnoteReference w:id="1"/>
      </w:r>
      <w:r>
        <w:rPr>
          <w:rFonts w:asciiTheme="minorHAnsi" w:hAnsiTheme="minorHAnsi" w:cstheme="minorHAnsi"/>
          <w:sz w:val="22"/>
          <w:szCs w:val="22"/>
        </w:rPr>
        <w:t>.</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 xml:space="preserve">If the interest is not the subject of a pending notification, the member must also notify the monitoring officer of the interest before the end of </w:t>
      </w:r>
      <w:proofErr w:type="gramStart"/>
      <w:r>
        <w:rPr>
          <w:rFonts w:asciiTheme="minorHAnsi" w:hAnsiTheme="minorHAnsi" w:cstheme="minorHAnsi"/>
          <w:sz w:val="22"/>
          <w:szCs w:val="22"/>
        </w:rPr>
        <w:t>twenty eight</w:t>
      </w:r>
      <w:proofErr w:type="gramEnd"/>
      <w:r>
        <w:rPr>
          <w:rFonts w:asciiTheme="minorHAnsi" w:hAnsiTheme="minorHAnsi" w:cstheme="minorHAnsi"/>
          <w:sz w:val="22"/>
          <w:szCs w:val="22"/>
        </w:rPr>
        <w:t xml:space="preserve"> days beginning with the date of disclosure. </w:t>
      </w:r>
      <w:r>
        <w:rPr>
          <w:rStyle w:val="FootnoteReference"/>
          <w:rFonts w:asciiTheme="minorHAnsi" w:hAnsiTheme="minorHAnsi" w:cstheme="minorHAnsi"/>
          <w:sz w:val="22"/>
          <w:szCs w:val="22"/>
        </w:rPr>
        <w:footnoteReference w:id="2"/>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In addition, the member may not participate, or participate further in any discussion of the matter at the meeting, or participate in any vote or further vote taken on the matter at the meeting, unless a dispensation has been granted</w:t>
      </w:r>
      <w:r>
        <w:rPr>
          <w:rStyle w:val="FootnoteReference"/>
          <w:rFonts w:asciiTheme="minorHAnsi" w:hAnsiTheme="minorHAnsi" w:cstheme="minorHAnsi"/>
          <w:sz w:val="22"/>
          <w:szCs w:val="22"/>
        </w:rPr>
        <w:footnoteReference w:id="3"/>
      </w:r>
      <w:r>
        <w:rPr>
          <w:rFonts w:asciiTheme="minorHAnsi" w:hAnsiTheme="minorHAnsi" w:cstheme="minorHAnsi"/>
          <w:sz w:val="22"/>
          <w:szCs w:val="22"/>
        </w:rPr>
        <w:t>, and standing orders may provide for the exclusion of a member whilst any such discussion or vote on a matter takes place.</w:t>
      </w:r>
      <w:r>
        <w:rPr>
          <w:rStyle w:val="FootnoteReference"/>
          <w:rFonts w:asciiTheme="minorHAnsi" w:hAnsiTheme="minorHAnsi" w:cstheme="minorHAnsi"/>
          <w:sz w:val="22"/>
          <w:szCs w:val="22"/>
        </w:rPr>
        <w:footnoteReference w:id="4"/>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This policy considers under what circumstances a dispensation may be granted to a member to remove from that member the prohibition on taking part in a discussion and or a vote on a matter in which he or she has a disclosable pecuniary interest.</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b/>
          <w:sz w:val="28"/>
          <w:szCs w:val="28"/>
        </w:rPr>
      </w:pPr>
      <w:r>
        <w:rPr>
          <w:rFonts w:asciiTheme="minorHAnsi" w:hAnsiTheme="minorHAnsi" w:cstheme="minorHAnsi"/>
          <w:b/>
          <w:sz w:val="28"/>
          <w:szCs w:val="28"/>
        </w:rPr>
        <w:t>Dispensations</w:t>
      </w:r>
    </w:p>
    <w:p w:rsidR="009B5641" w:rsidRDefault="009B5641" w:rsidP="009B5641">
      <w:pPr>
        <w:rPr>
          <w:rFonts w:asciiTheme="minorHAnsi" w:hAnsiTheme="minorHAnsi" w:cstheme="minorHAnsi"/>
          <w:b/>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Section 33 states that a parish council may grant a dispensation relieving the member from either or both of the restrictions in section 31(4) in cases described in the dispensation, but it may only do so in response to a written request made to the proper officer of the authority by the member concerned</w:t>
      </w:r>
      <w:r>
        <w:rPr>
          <w:rStyle w:val="FootnoteReference"/>
          <w:rFonts w:asciiTheme="minorHAnsi" w:hAnsiTheme="minorHAnsi" w:cstheme="minorHAnsi"/>
          <w:sz w:val="22"/>
          <w:szCs w:val="22"/>
        </w:rPr>
        <w:footnoteReference w:id="5"/>
      </w:r>
      <w:r>
        <w:rPr>
          <w:rFonts w:asciiTheme="minorHAnsi" w:hAnsiTheme="minorHAnsi" w:cstheme="minorHAnsi"/>
          <w:sz w:val="22"/>
          <w:szCs w:val="22"/>
        </w:rPr>
        <w:t>.</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In the case of a parish council, it may grant a dispensation under section 33 only if, after having had regard to all relevant circumstances, the authority considers that</w:t>
      </w:r>
      <w:r>
        <w:rPr>
          <w:rStyle w:val="FootnoteReference"/>
          <w:rFonts w:asciiTheme="minorHAnsi" w:hAnsiTheme="minorHAnsi" w:cstheme="minorHAnsi"/>
          <w:sz w:val="22"/>
          <w:szCs w:val="22"/>
        </w:rPr>
        <w:footnoteReference w:id="6"/>
      </w:r>
      <w:r>
        <w:rPr>
          <w:rFonts w:asciiTheme="minorHAnsi" w:hAnsiTheme="minorHAnsi" w:cstheme="minorHAnsi"/>
          <w:sz w:val="22"/>
          <w:szCs w:val="22"/>
        </w:rPr>
        <w:t>:</w:t>
      </w:r>
    </w:p>
    <w:p w:rsidR="009B5641" w:rsidRDefault="009B5641" w:rsidP="009B5641">
      <w:pPr>
        <w:rPr>
          <w:rFonts w:asciiTheme="minorHAnsi" w:hAnsiTheme="minorHAnsi" w:cstheme="minorHAnsi"/>
          <w:sz w:val="22"/>
          <w:szCs w:val="22"/>
        </w:rPr>
      </w:pPr>
    </w:p>
    <w:p w:rsidR="009B5641" w:rsidRDefault="009B5641" w:rsidP="009B564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Without the dispensation, the number of members or co-opted members prohibited from participating in any particular business would be so great a proportion of the body transaction the business as to impede the transaction of the business; or</w:t>
      </w:r>
    </w:p>
    <w:p w:rsidR="009B5641" w:rsidRDefault="009B5641" w:rsidP="009B564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lastRenderedPageBreak/>
        <w:t>Without the dispensation the representation of different political groups on the body transaction any particular business would be so upset as to alter the likely outcome of any vote relating to the business; or</w:t>
      </w:r>
    </w:p>
    <w:p w:rsidR="009B5641" w:rsidRDefault="009B5641" w:rsidP="009B564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Granting the dispensation is in the interests of persons living in the authority’s area; or</w:t>
      </w:r>
    </w:p>
    <w:p w:rsidR="009B5641" w:rsidRDefault="009B5641" w:rsidP="009B564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It is otherwise appropriate to grant a dispensation.</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A dispensation granted under section 33 must specify the period for which it has effect and that period may not exceed four years</w:t>
      </w:r>
      <w:r>
        <w:rPr>
          <w:rStyle w:val="FootnoteReference"/>
          <w:rFonts w:asciiTheme="minorHAnsi" w:hAnsiTheme="minorHAnsi" w:cstheme="minorHAnsi"/>
          <w:sz w:val="22"/>
          <w:szCs w:val="22"/>
        </w:rPr>
        <w:footnoteReference w:id="7"/>
      </w:r>
      <w:r>
        <w:rPr>
          <w:rFonts w:asciiTheme="minorHAnsi" w:hAnsiTheme="minorHAnsi" w:cstheme="minorHAnsi"/>
          <w:sz w:val="22"/>
          <w:szCs w:val="22"/>
        </w:rPr>
        <w:t>.</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r>
        <w:rPr>
          <w:rFonts w:asciiTheme="minorHAnsi" w:hAnsiTheme="minorHAnsi" w:cstheme="minorHAnsi"/>
          <w:sz w:val="22"/>
          <w:szCs w:val="22"/>
        </w:rPr>
        <w:t>Finally, section 33(4) states that the restriction in section 31(4) does not apply in relation to anything done for the purpose of deciding whether to grant a dispensation under section 33.  Thus:</w:t>
      </w:r>
    </w:p>
    <w:p w:rsidR="009B5641" w:rsidRDefault="009B5641" w:rsidP="009B5641">
      <w:pPr>
        <w:rPr>
          <w:rFonts w:asciiTheme="minorHAnsi" w:hAnsiTheme="minorHAnsi" w:cstheme="minorHAnsi"/>
          <w:sz w:val="22"/>
          <w:szCs w:val="22"/>
        </w:rPr>
      </w:pPr>
    </w:p>
    <w:p w:rsidR="009B5641" w:rsidRDefault="009B5641" w:rsidP="009B5641">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A member may request a dispensation, and</w:t>
      </w:r>
    </w:p>
    <w:p w:rsidR="009B5641" w:rsidRDefault="009B5641" w:rsidP="009B5641">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A council may discuss and vote on the issue of whether that member should be granted a dispensation in relation to a particular matter in which that member has a disclosable pecuniary interest; and</w:t>
      </w:r>
    </w:p>
    <w:p w:rsidR="009B5641" w:rsidRDefault="009B5641" w:rsidP="009B5641">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The member can take part in that decision making process.</w:t>
      </w: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sz w:val="22"/>
          <w:szCs w:val="22"/>
        </w:rPr>
      </w:pPr>
    </w:p>
    <w:p w:rsidR="009B5641" w:rsidRDefault="009B5641" w:rsidP="009B5641">
      <w:pPr>
        <w:rPr>
          <w:rFonts w:asciiTheme="minorHAnsi" w:hAnsiTheme="minorHAnsi" w:cstheme="minorHAnsi"/>
          <w:b/>
          <w:sz w:val="28"/>
          <w:szCs w:val="28"/>
        </w:rPr>
      </w:pPr>
      <w:r>
        <w:rPr>
          <w:rFonts w:asciiTheme="minorHAnsi" w:hAnsiTheme="minorHAnsi" w:cstheme="minorHAnsi"/>
          <w:b/>
          <w:sz w:val="28"/>
          <w:szCs w:val="28"/>
        </w:rPr>
        <w:t>Procedure</w:t>
      </w:r>
    </w:p>
    <w:p w:rsidR="009B5641" w:rsidRDefault="009B5641" w:rsidP="009B5641">
      <w:pPr>
        <w:rPr>
          <w:rFonts w:asciiTheme="minorHAnsi" w:hAnsiTheme="minorHAnsi" w:cstheme="minorHAnsi"/>
          <w:b/>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t xml:space="preserve">Where a member becomes aware that he/she would otherwise be restricted from participating in the discussion and vote on a matter because of a “disclosable pecuniary interest” and that member wishes to be relieved of that restriction, he/she must apply in writing to the Proper Officer of the Council (the Clerk) no later than </w:t>
      </w:r>
      <w:proofErr w:type="gramStart"/>
      <w:r>
        <w:rPr>
          <w:rFonts w:asciiTheme="minorHAnsi" w:hAnsiTheme="minorHAnsi" w:cstheme="minorHAnsi"/>
          <w:sz w:val="22"/>
          <w:szCs w:val="22"/>
        </w:rPr>
        <w:t>twenty four</w:t>
      </w:r>
      <w:proofErr w:type="gramEnd"/>
      <w:r>
        <w:rPr>
          <w:rFonts w:asciiTheme="minorHAnsi" w:hAnsiTheme="minorHAnsi" w:cstheme="minorHAnsi"/>
          <w:sz w:val="22"/>
          <w:szCs w:val="22"/>
        </w:rPr>
        <w:t xml:space="preserve"> (24) hours before the meeting for which a dispensation is requested.    The written request for a dispensation from the application of Section 31 should give reasons why he/she feels a dispensation should be granted and the length of time that the dispensation should be granted for. </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t>In exceptional cases, a request for dispensation may be considered without notice at a meeting where the Member only becomes aware of a disclosable pecuniary interest that the restriction under Section 31 would apply to during the course of the meeting.</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3.</w:t>
      </w:r>
      <w:r>
        <w:rPr>
          <w:rFonts w:asciiTheme="minorHAnsi" w:hAnsiTheme="minorHAnsi" w:cstheme="minorHAnsi"/>
          <w:sz w:val="22"/>
          <w:szCs w:val="22"/>
        </w:rPr>
        <w:tab/>
        <w:t>All requests for dispensation will be considered by the Parish Council as a whole as a standing item at each full Parish Council meeting before the main business of the meeting commences.</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4.</w:t>
      </w:r>
      <w:r>
        <w:rPr>
          <w:rFonts w:asciiTheme="minorHAnsi" w:hAnsiTheme="minorHAnsi" w:cstheme="minorHAnsi"/>
          <w:sz w:val="22"/>
          <w:szCs w:val="22"/>
        </w:rPr>
        <w:tab/>
        <w:t>In considering requests for dispensation, the Council will consider whether:</w:t>
      </w: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ab/>
      </w:r>
    </w:p>
    <w:p w:rsidR="009B5641" w:rsidRDefault="009B5641" w:rsidP="009B5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Without the dispensation, the number of members or co-opted members prohibited from participating in any particular business would be so great a proportion of the body transaction the business as to impede the transaction of the business; or</w:t>
      </w:r>
    </w:p>
    <w:p w:rsidR="009B5641" w:rsidRDefault="009B5641" w:rsidP="009B5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Without the dispensation the representation of different political groups on the body transaction any particular business would be so upset as to alter the likely outcome of any vote relating to the business; or</w:t>
      </w:r>
    </w:p>
    <w:p w:rsidR="009B5641" w:rsidRDefault="009B5641" w:rsidP="009B5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Granting the dispensation is in the interests of persons living in the authority’s area; or</w:t>
      </w:r>
    </w:p>
    <w:p w:rsidR="009B5641" w:rsidRDefault="009B5641" w:rsidP="009B5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It is otherwise appropriate to grant a dispensation.</w:t>
      </w:r>
    </w:p>
    <w:p w:rsidR="009B5641" w:rsidRDefault="009B5641" w:rsidP="009B5641">
      <w:pPr>
        <w:rPr>
          <w:rFonts w:asciiTheme="minorHAnsi" w:hAnsiTheme="minorHAnsi" w:cstheme="minorHAnsi"/>
          <w:sz w:val="22"/>
          <w:szCs w:val="22"/>
        </w:rPr>
      </w:pPr>
    </w:p>
    <w:p w:rsidR="009B5641" w:rsidRDefault="009B5641" w:rsidP="009B5641">
      <w:pPr>
        <w:ind w:left="720"/>
        <w:rPr>
          <w:rFonts w:asciiTheme="minorHAnsi" w:hAnsiTheme="minorHAnsi" w:cstheme="minorHAnsi"/>
          <w:sz w:val="22"/>
          <w:szCs w:val="22"/>
        </w:rPr>
      </w:pPr>
      <w:r>
        <w:rPr>
          <w:rFonts w:asciiTheme="minorHAnsi" w:hAnsiTheme="minorHAnsi" w:cstheme="minorHAnsi"/>
          <w:sz w:val="22"/>
          <w:szCs w:val="22"/>
        </w:rPr>
        <w:t>The Council will take into account any special expertise of the Member concerned in the subject matter under discussion and whether or not a valid resolution could take place without the views or vote of the Member requesting the dispensation.</w:t>
      </w:r>
    </w:p>
    <w:p w:rsidR="009B5641" w:rsidRDefault="009B5641" w:rsidP="009B5641">
      <w:pPr>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5.</w:t>
      </w:r>
      <w:r>
        <w:rPr>
          <w:rFonts w:asciiTheme="minorHAnsi" w:hAnsiTheme="minorHAnsi" w:cstheme="minorHAnsi"/>
          <w:sz w:val="22"/>
          <w:szCs w:val="22"/>
        </w:rPr>
        <w:tab/>
        <w:t xml:space="preserve">Details of any dispensations granted will be recorded in the Minutes of the meeting at which the dispensation is discussed and in the Parish Council’s Register of Interests and will include the length of time the dispensation is granted for. </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r>
        <w:rPr>
          <w:rFonts w:asciiTheme="minorHAnsi" w:hAnsiTheme="minorHAnsi" w:cstheme="minorHAnsi"/>
          <w:sz w:val="22"/>
          <w:szCs w:val="22"/>
        </w:rPr>
        <w:t>6.</w:t>
      </w:r>
      <w:r>
        <w:rPr>
          <w:rFonts w:asciiTheme="minorHAnsi" w:hAnsiTheme="minorHAnsi" w:cstheme="minorHAnsi"/>
          <w:sz w:val="22"/>
          <w:szCs w:val="22"/>
        </w:rPr>
        <w:tab/>
        <w:t xml:space="preserve">Notwithstanding the above, the Council may, at </w:t>
      </w:r>
      <w:proofErr w:type="spellStart"/>
      <w:r>
        <w:rPr>
          <w:rFonts w:asciiTheme="minorHAnsi" w:hAnsiTheme="minorHAnsi" w:cstheme="minorHAnsi"/>
          <w:sz w:val="22"/>
          <w:szCs w:val="22"/>
        </w:rPr>
        <w:t>it’s</w:t>
      </w:r>
      <w:proofErr w:type="spellEnd"/>
      <w:r>
        <w:rPr>
          <w:rFonts w:asciiTheme="minorHAnsi" w:hAnsiTheme="minorHAnsi" w:cstheme="minorHAnsi"/>
          <w:sz w:val="22"/>
          <w:szCs w:val="22"/>
        </w:rPr>
        <w:t xml:space="preserve"> discretion, delegate authority to grant dispensations to the Clerk/Proper Officer in circumstances to be agreed by the Council.</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jc w:val="right"/>
        <w:rPr>
          <w:rFonts w:asciiTheme="minorHAnsi" w:hAnsiTheme="minorHAnsi" w:cstheme="minorHAnsi"/>
        </w:rPr>
      </w:pPr>
      <w:r>
        <w:rPr>
          <w:rFonts w:asciiTheme="minorHAnsi" w:hAnsiTheme="minorHAnsi" w:cstheme="minorHAnsi"/>
        </w:rPr>
        <w:t xml:space="preserve">Considered </w:t>
      </w:r>
      <w:r w:rsidR="002F1164">
        <w:rPr>
          <w:rFonts w:asciiTheme="minorHAnsi" w:hAnsiTheme="minorHAnsi" w:cstheme="minorHAnsi"/>
        </w:rPr>
        <w:t xml:space="preserve">and approved </w:t>
      </w:r>
      <w:bookmarkStart w:id="0" w:name="_GoBack"/>
      <w:bookmarkEnd w:id="0"/>
      <w:r>
        <w:rPr>
          <w:rFonts w:asciiTheme="minorHAnsi" w:hAnsiTheme="minorHAnsi" w:cstheme="minorHAnsi"/>
        </w:rPr>
        <w:t xml:space="preserve">by Dinedor Parish Council at a meeting </w:t>
      </w:r>
    </w:p>
    <w:p w:rsidR="009B5641" w:rsidRPr="009B5641" w:rsidRDefault="009B5641" w:rsidP="009B5641">
      <w:pPr>
        <w:ind w:left="720" w:hanging="720"/>
        <w:jc w:val="right"/>
        <w:rPr>
          <w:rFonts w:asciiTheme="minorHAnsi" w:hAnsiTheme="minorHAnsi" w:cstheme="minorHAnsi"/>
        </w:rPr>
      </w:pPr>
      <w:r>
        <w:rPr>
          <w:rFonts w:asciiTheme="minorHAnsi" w:hAnsiTheme="minorHAnsi" w:cstheme="minorHAnsi"/>
        </w:rPr>
        <w:t>Held on 20</w:t>
      </w:r>
      <w:r w:rsidRPr="009B5641">
        <w:rPr>
          <w:rFonts w:asciiTheme="minorHAnsi" w:hAnsiTheme="minorHAnsi" w:cstheme="minorHAnsi"/>
          <w:vertAlign w:val="superscript"/>
        </w:rPr>
        <w:t>th</w:t>
      </w:r>
      <w:r>
        <w:rPr>
          <w:rFonts w:asciiTheme="minorHAnsi" w:hAnsiTheme="minorHAnsi" w:cstheme="minorHAnsi"/>
        </w:rPr>
        <w:t xml:space="preserve"> September 2016 </w:t>
      </w: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9B5641" w:rsidRDefault="009B5641" w:rsidP="009B5641">
      <w:pPr>
        <w:ind w:left="720" w:hanging="720"/>
        <w:rPr>
          <w:rFonts w:asciiTheme="minorHAnsi" w:hAnsiTheme="minorHAnsi" w:cstheme="minorHAnsi"/>
          <w:sz w:val="22"/>
          <w:szCs w:val="22"/>
        </w:rPr>
      </w:pPr>
    </w:p>
    <w:p w:rsidR="00AC1E9A" w:rsidRDefault="00AC1E9A"/>
    <w:sectPr w:rsidR="00AC1E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CC5" w:rsidRDefault="00EC3CC5" w:rsidP="009B5641">
      <w:r>
        <w:separator/>
      </w:r>
    </w:p>
  </w:endnote>
  <w:endnote w:type="continuationSeparator" w:id="0">
    <w:p w:rsidR="00EC3CC5" w:rsidRDefault="00EC3CC5" w:rsidP="009B5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CC5" w:rsidRDefault="00EC3CC5" w:rsidP="009B5641">
      <w:r>
        <w:separator/>
      </w:r>
    </w:p>
  </w:footnote>
  <w:footnote w:type="continuationSeparator" w:id="0">
    <w:p w:rsidR="00EC3CC5" w:rsidRDefault="00EC3CC5" w:rsidP="009B5641">
      <w:r>
        <w:continuationSeparator/>
      </w:r>
    </w:p>
  </w:footnote>
  <w:footnote w:id="1">
    <w:p w:rsidR="009B5641" w:rsidRDefault="009B5641" w:rsidP="009B5641">
      <w:pPr>
        <w:pStyle w:val="FootnoteText"/>
      </w:pPr>
      <w:r>
        <w:rPr>
          <w:rStyle w:val="FootnoteReference"/>
        </w:rPr>
        <w:footnoteRef/>
      </w:r>
      <w:r>
        <w:t xml:space="preserve"> Section 31(1), (2), section32(3)</w:t>
      </w:r>
    </w:p>
  </w:footnote>
  <w:footnote w:id="2">
    <w:p w:rsidR="009B5641" w:rsidRDefault="009B5641" w:rsidP="009B5641">
      <w:pPr>
        <w:pStyle w:val="FootnoteText"/>
      </w:pPr>
      <w:r>
        <w:rPr>
          <w:rStyle w:val="FootnoteReference"/>
        </w:rPr>
        <w:footnoteRef/>
      </w:r>
      <w:r>
        <w:t xml:space="preserve"> Section 31(3)</w:t>
      </w:r>
    </w:p>
  </w:footnote>
  <w:footnote w:id="3">
    <w:p w:rsidR="009B5641" w:rsidRDefault="009B5641" w:rsidP="009B5641">
      <w:pPr>
        <w:pStyle w:val="FootnoteText"/>
      </w:pPr>
      <w:r>
        <w:rPr>
          <w:rStyle w:val="FootnoteReference"/>
        </w:rPr>
        <w:footnoteRef/>
      </w:r>
      <w:r>
        <w:t xml:space="preserve"> Section 31(4), section 33</w:t>
      </w:r>
    </w:p>
  </w:footnote>
  <w:footnote w:id="4">
    <w:p w:rsidR="009B5641" w:rsidRDefault="009B5641" w:rsidP="009B5641">
      <w:pPr>
        <w:pStyle w:val="FootnoteText"/>
      </w:pPr>
      <w:r>
        <w:rPr>
          <w:rStyle w:val="FootnoteReference"/>
        </w:rPr>
        <w:footnoteRef/>
      </w:r>
      <w:r>
        <w:t xml:space="preserve"> Section 31(10)</w:t>
      </w:r>
    </w:p>
  </w:footnote>
  <w:footnote w:id="5">
    <w:p w:rsidR="009B5641" w:rsidRDefault="009B5641" w:rsidP="009B5641">
      <w:pPr>
        <w:pStyle w:val="FootnoteText"/>
      </w:pPr>
      <w:r>
        <w:rPr>
          <w:rStyle w:val="FootnoteReference"/>
        </w:rPr>
        <w:footnoteRef/>
      </w:r>
      <w:r>
        <w:t xml:space="preserve"> Section 33(1)</w:t>
      </w:r>
    </w:p>
  </w:footnote>
  <w:footnote w:id="6">
    <w:p w:rsidR="009B5641" w:rsidRDefault="009B5641" w:rsidP="009B5641">
      <w:pPr>
        <w:pStyle w:val="FootnoteText"/>
      </w:pPr>
      <w:r>
        <w:rPr>
          <w:rStyle w:val="FootnoteReference"/>
        </w:rPr>
        <w:footnoteRef/>
      </w:r>
      <w:r>
        <w:t xml:space="preserve"> Section 33(2)</w:t>
      </w:r>
    </w:p>
  </w:footnote>
  <w:footnote w:id="7">
    <w:p w:rsidR="009B5641" w:rsidRDefault="009B5641" w:rsidP="009B5641">
      <w:pPr>
        <w:pStyle w:val="FootnoteText"/>
      </w:pPr>
      <w:r>
        <w:rPr>
          <w:rStyle w:val="FootnoteReference"/>
        </w:rPr>
        <w:footnoteRef/>
      </w:r>
      <w:r>
        <w:t xml:space="preserve"> Section 33(3)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3199"/>
    <w:multiLevelType w:val="hybridMultilevel"/>
    <w:tmpl w:val="D30E6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2754E53"/>
    <w:multiLevelType w:val="hybridMultilevel"/>
    <w:tmpl w:val="16D8D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641"/>
    <w:rsid w:val="002F1164"/>
    <w:rsid w:val="0082777C"/>
    <w:rsid w:val="009B5641"/>
    <w:rsid w:val="00AC1E9A"/>
    <w:rsid w:val="00EC3C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4A439"/>
  <w15:chartTrackingRefBased/>
  <w15:docId w15:val="{81B4F9E3-677B-457F-A7B2-ABAAC14A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B5641"/>
    <w:pPr>
      <w:jc w:val="left"/>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B5641"/>
  </w:style>
  <w:style w:type="character" w:customStyle="1" w:styleId="FootnoteTextChar">
    <w:name w:val="Footnote Text Char"/>
    <w:basedOn w:val="DefaultParagraphFont"/>
    <w:link w:val="FootnoteText"/>
    <w:uiPriority w:val="99"/>
    <w:semiHidden/>
    <w:rsid w:val="009B5641"/>
    <w:rPr>
      <w:rFonts w:ascii="Times New Roman" w:eastAsia="Times New Roman" w:hAnsi="Times New Roman" w:cs="Times New Roman"/>
      <w:sz w:val="20"/>
      <w:szCs w:val="20"/>
    </w:rPr>
  </w:style>
  <w:style w:type="paragraph" w:styleId="ListParagraph">
    <w:name w:val="List Paragraph"/>
    <w:basedOn w:val="Normal"/>
    <w:uiPriority w:val="34"/>
    <w:qFormat/>
    <w:rsid w:val="009B5641"/>
    <w:pPr>
      <w:ind w:left="720"/>
      <w:contextualSpacing/>
    </w:pPr>
  </w:style>
  <w:style w:type="character" w:styleId="FootnoteReference">
    <w:name w:val="footnote reference"/>
    <w:basedOn w:val="DefaultParagraphFont"/>
    <w:uiPriority w:val="99"/>
    <w:semiHidden/>
    <w:unhideWhenUsed/>
    <w:rsid w:val="009B56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6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Belmont Rural</dc:creator>
  <cp:keywords/>
  <dc:description/>
  <cp:lastModifiedBy>Dinedor Parish Council</cp:lastModifiedBy>
  <cp:revision>2</cp:revision>
  <dcterms:created xsi:type="dcterms:W3CDTF">2016-08-03T19:11:00Z</dcterms:created>
  <dcterms:modified xsi:type="dcterms:W3CDTF">2017-06-04T08:03:00Z</dcterms:modified>
</cp:coreProperties>
</file>